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560"/>
      </w:tblGrid>
      <w:tr>
        <w:tc>
          <w:tcPr>
            <w:tcW w:type="dxa" w:w="5407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2" w:color="E4B400"/>
            </w:tcBorders>
            <w:vAlign w:val="center"/>
          </w:tcPr>
          <w:p>
            <w:pPr>
              <w:keepNext w:val="0"/>
              <w:spacing w:before="0" w:after="4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783080" cy="943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ft_logo_cropped_oct1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943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7"/>
            <w:tcMar>
              <w:top w:w="0" w:type="dxa"/>
              <w:start w:w="0" w:type="dxa"/>
              <w:bottom w:w="0" w:type="dxa"/>
              <w:end w:w="0" w:type="dxa"/>
            </w:tcMar>
            <w:tcBorders>
              <w:bottom w:val="single" w:sz="12" w:color="E4B400"/>
            </w:tcBorders>
            <w:vAlign w:val="center"/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04B31"/>
                <w:sz w:val="34"/>
              </w:rPr>
              <w:t>TFT MARKET INTELLIGENCE</w:t>
            </w:r>
          </w:p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11111"/>
                <w:sz w:val="21"/>
              </w:rPr>
              <w:t>ZIMBABWE TOBACCO EXECUTIVE BRIEF</w:t>
            </w:r>
          </w:p>
          <w:p>
            <w:pPr>
              <w:keepNext w:val="0"/>
              <w:spacing w:before="0" w:after="40" w:line="240" w:lineRule="auto"/>
              <w:jc w:val="right"/>
            </w:pPr>
            <w:r>
              <w:rPr>
                <w:rFonts w:ascii="Arial" w:hAnsi="Arial" w:eastAsia="Arial"/>
                <w:b w:val="0"/>
                <w:i w:val="0"/>
                <w:color w:val="5F6368"/>
                <w:sz w:val="15"/>
              </w:rPr>
            </w:r>
            <w:r>
              <w:rPr>
                <w:b w:val="0"/>
                <w:sz w:val="15"/>
              </w:rPr>
              <w:t>Edition: 19 October 2026  |  TIMB data cutoff: 16 October 2026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15"/>
      </w:tblGrid>
      <w:tr>
        <w:tc>
          <w:tcPr>
            <w:tcW w:type="dxa" w:w="10815"/>
            <w:shd w:fill="004B31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8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22"/>
              </w:rPr>
            </w:r>
            <w:r>
              <w:rPr>
                <w:b/>
                <w:sz w:val="18"/>
              </w:rPr>
              <w:t xml:space="preserve">THE BIG SIGNAL  </w:t>
            </w:r>
            <w:r>
              <w:rPr>
                <w:b/>
                <w:sz w:val="22"/>
              </w:rPr>
              <w:t>PARTICIPATION UP, PRODUCTION INTENSITY DOWN - EXPORT VALUE CROSSES US$1BN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6"/>
              </w:rPr>
            </w:r>
            <w:r>
              <w:rPr>
                <w:b w:val="0"/>
                <w:sz w:val="16"/>
              </w:rPr>
              <w:t>FCV registrations are 11% ahead of last season, while planted area and seedbed field-area equivalence are both 10% lower. Export volume is up 23%, but average export value/kg has softened.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407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168" w:lineRule="auto"/>
            </w:pPr>
          </w:p>
          <w:p>
            <w:pPr>
              <w:keepNext/>
              <w:spacing w:before="0" w:after="60" w:line="240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20"/>
              </w:rPr>
              <w:t xml:space="preserve">1  </w:t>
            </w:r>
            <w:r>
              <w:rPr>
                <w:rFonts w:ascii="Arial" w:hAnsi="Arial" w:eastAsia="Arial"/>
                <w:b/>
                <w:i w:val="0"/>
                <w:color w:val="004B31"/>
                <w:sz w:val="20"/>
              </w:rPr>
              <w:t>WHAT CHANGED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Registrations strengthened: </w:t>
            </w:r>
            <w:r>
              <w:rPr>
                <w:b w:val="0"/>
                <w:sz w:val="16"/>
              </w:rPr>
              <w:t>82,464 FCV growers, up 11% from 74,082. Mashonaland Central +21%; Mashonaland West +19%; Manicaland -4%; Mashonaland East -8%.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Contracting remains dominant: </w:t>
            </w:r>
            <w:r>
              <w:rPr>
                <w:b w:val="0"/>
                <w:sz w:val="16"/>
              </w:rPr>
              <w:t>60,914 growers are contracted - about 74% of all registered growers. The bulletin gives no comparable 2025/26 contracted-grower total.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Planting remains softer: </w:t>
            </w:r>
            <w:r>
              <w:rPr>
                <w:b w:val="0"/>
                <w:sz w:val="16"/>
              </w:rPr>
              <w:t>13,122 ha planted by 14 October, including 12,479 ha irrigated and 643 ha dryland - 10% below 14,517 ha last season. Mashonaland West is +46%; Mashonaland East -24%.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Seedbed potential is lower: </w:t>
            </w:r>
            <w:r>
              <w:rPr>
                <w:b w:val="0"/>
                <w:sz w:val="16"/>
              </w:rPr>
              <w:t>field-area equivalence is 126,514 ha, down 10% from 141,234 ha.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Exports crossed US$1bn: </w:t>
            </w:r>
            <w:r>
              <w:rPr>
                <w:b w:val="0"/>
                <w:sz w:val="16"/>
              </w:rPr>
              <w:t>189.98m kg worth US$1.003bn versus 154.26m kg and US$844.02m in 2025. Volume +23.2%; value +18.8%; average export value fell from US$5.47/kg to US$5.28/kg.</w:t>
            </w:r>
          </w:p>
          <w:p>
            <w:pPr>
              <w:keepNext/>
              <w:spacing w:before="0" w:after="60" w:line="240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20"/>
              </w:rPr>
              <w:t xml:space="preserve">2  </w:t>
            </w:r>
            <w:r>
              <w:rPr>
                <w:rFonts w:ascii="Arial" w:hAnsi="Arial" w:eastAsia="Arial"/>
                <w:b/>
                <w:i w:val="0"/>
                <w:color w:val="004B31"/>
                <w:sz w:val="20"/>
              </w:rPr>
              <w:t>EXPORT VALUE &amp; MARKET MIX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Far East leads value: </w:t>
            </w:r>
            <w:r>
              <w:rPr>
                <w:b w:val="0"/>
                <w:sz w:val="16"/>
              </w:rPr>
              <w:t>84.33m kg worth US$577.21m at US$6.84/kg.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Africa gained volume but lost unit value: </w:t>
            </w:r>
            <w:r>
              <w:rPr>
                <w:b w:val="0"/>
                <w:sz w:val="16"/>
              </w:rPr>
              <w:t>42.32m kg at US$4.00/kg, versus 28.80m kg at US$4.72/kg a year earlier.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EU weakened: </w:t>
            </w:r>
            <w:r>
              <w:rPr>
                <w:b w:val="0"/>
                <w:sz w:val="16"/>
              </w:rPr>
              <w:t>19.87m kg at US$4.68/kg, versus 23.52m kg at US$5.77/kg.</w:t>
            </w:r>
          </w:p>
          <w:p>
            <w:pPr>
              <w:keepNext w:val="0"/>
              <w:spacing w:before="40" w:after="60" w:line="228" w:lineRule="auto"/>
            </w:pP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TFT interpretation: </w:t>
            </w:r>
            <w:r>
              <w:rPr>
                <w:b w:val="0"/>
                <w:sz w:val="16"/>
              </w:rPr>
              <w:t>Zimbabwe is exporting significantly more tobacco, but value growth is lagging volume growth. The strategic question is which grades and styles generate the strongest value - and how much of that value reaches growers.</w:t>
            </w:r>
          </w:p>
        </w:tc>
        <w:tc>
          <w:tcPr>
            <w:tcW w:type="dxa" w:w="5407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0" w:line="168" w:lineRule="auto"/>
            </w:pPr>
          </w:p>
          <w:p>
            <w:pPr>
              <w:keepNext/>
              <w:spacing w:before="0" w:after="60" w:line="240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20"/>
              </w:rPr>
              <w:t xml:space="preserve">3  </w:t>
            </w:r>
            <w:r>
              <w:rPr>
                <w:rFonts w:ascii="Arial" w:hAnsi="Arial" w:eastAsia="Arial"/>
                <w:b/>
                <w:i w:val="0"/>
                <w:color w:val="004B31"/>
                <w:sz w:val="20"/>
              </w:rPr>
              <w:t>WHY IT MATTERS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Grower numbers are not a crop forecast. </w:t>
            </w:r>
            <w:r>
              <w:rPr>
                <w:b w:val="0"/>
                <w:sz w:val="16"/>
              </w:rPr>
              <w:t>Registrations +11% versus planted area -10% and seedbed potential -10% may indicate smaller intended areas, delayed planting or changed grower composition.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Water access remains central. </w:t>
            </w:r>
            <w:r>
              <w:rPr>
                <w:b w:val="0"/>
                <w:sz w:val="16"/>
              </w:rPr>
              <w:t>Only 643 ha of the 13,122 ha planted is recorded as dryland. Establishment timing, irrigation access and rainfall will shape yield, quality and cost outcomes.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Export strength is not grower prosperity. </w:t>
            </w:r>
            <w:r>
              <w:rPr>
                <w:b w:val="0"/>
                <w:sz w:val="16"/>
              </w:rPr>
              <w:t>US$1.003bn is export value, not net grower income; it may include processing, grading, inventories, logistics and merchant value addition.</w:t>
            </w:r>
          </w:p>
          <w:p>
            <w:pPr>
              <w:keepNext w:val="0"/>
              <w:spacing w:before="0" w:after="40" w:line="228" w:lineRule="auto"/>
              <w:ind w:left="58" w:hanging="58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• </w:t>
            </w:r>
            <w:r>
              <w:rPr>
                <w:b/>
                <w:sz w:val="16"/>
              </w:rPr>
              <w:t xml:space="preserve">Contract price is not net return. </w:t>
            </w:r>
            <w:r>
              <w:rPr>
                <w:b w:val="0"/>
                <w:sz w:val="16"/>
              </w:rPr>
              <w:t>The final 2026 auction average of about US$1.90/kg versus US$2.55/kg under contract is gross selling price before deductions and production costs.</w:t>
            </w:r>
          </w:p>
          <w:p>
            <w:pPr>
              <w:keepNext/>
              <w:spacing w:before="0" w:after="60" w:line="240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20"/>
              </w:rPr>
              <w:t xml:space="preserve">4  </w:t>
            </w:r>
            <w:r>
              <w:rPr>
                <w:rFonts w:ascii="Arial" w:hAnsi="Arial" w:eastAsia="Arial"/>
                <w:b/>
                <w:i w:val="0"/>
                <w:color w:val="004B31"/>
                <w:sz w:val="20"/>
              </w:rPr>
              <w:t>VALUE DISTRIBUTION &amp; EVIDENCE GAP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2703"/>
              <w:gridCol w:w="2703"/>
            </w:tblGrid>
            <w:tr>
              <w:tc>
                <w:tcPr>
                  <w:tcW w:type="dxa" w:w="1966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5F6368"/>
                      <w:sz w:val="16"/>
                    </w:rPr>
                    <w:t>National gross avg.</w:t>
                  </w:r>
                </w:p>
              </w:tc>
              <w:tc>
                <w:tcPr>
                  <w:tcW w:type="dxa" w:w="2714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004B31"/>
                      <w:sz w:val="16"/>
                    </w:rPr>
                    <w:t>US$2.49/kg</w:t>
                  </w:r>
                </w:p>
              </w:tc>
            </w:tr>
            <w:tr>
              <w:tc>
                <w:tcPr>
                  <w:tcW w:type="dxa" w:w="1966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5F6368"/>
                      <w:sz w:val="16"/>
                    </w:rPr>
                    <w:t>Auction avg.</w:t>
                  </w:r>
                </w:p>
              </w:tc>
              <w:tc>
                <w:tcPr>
                  <w:tcW w:type="dxa" w:w="2714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004B31"/>
                      <w:sz w:val="16"/>
                    </w:rPr>
                    <w:t>~US$1.90/kg</w:t>
                  </w:r>
                </w:p>
              </w:tc>
            </w:tr>
            <w:tr>
              <w:tc>
                <w:tcPr>
                  <w:tcW w:type="dxa" w:w="1966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5F6368"/>
                      <w:sz w:val="16"/>
                    </w:rPr>
                    <w:t>Contract avg.</w:t>
                  </w:r>
                </w:p>
              </w:tc>
              <w:tc>
                <w:tcPr>
                  <w:tcW w:type="dxa" w:w="2714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004B31"/>
                      <w:sz w:val="16"/>
                    </w:rPr>
                    <w:t>~US$2.55/kg</w:t>
                  </w:r>
                </w:p>
              </w:tc>
            </w:tr>
            <w:tr>
              <w:tc>
                <w:tcPr>
                  <w:tcW w:type="dxa" w:w="1966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5F6368"/>
                      <w:sz w:val="16"/>
                    </w:rPr>
                    <w:t>Export avg. to 16 Oct</w:t>
                  </w:r>
                </w:p>
              </w:tc>
              <w:tc>
                <w:tcPr>
                  <w:tcW w:type="dxa" w:w="2714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tcBorders>
                    <w:bottom w:val="single" w:sz="4" w:color="D9DED9"/>
                  </w:tcBorders>
                </w:tcPr>
                <w:p>
                  <w:pPr>
                    <w:keepNext w:val="0"/>
                    <w:spacing w:before="0" w:after="0" w:line="228" w:lineRule="auto"/>
                  </w:pPr>
                  <w:r>
                    <w:rPr>
                      <w:rFonts w:ascii="Arial" w:hAnsi="Arial" w:eastAsia="Arial"/>
                      <w:b/>
                      <w:i w:val="0"/>
                      <w:color w:val="004B31"/>
                      <w:sz w:val="16"/>
                    </w:rPr>
                    <w:t>US$5.28/kg</w:t>
                  </w:r>
                </w:p>
              </w:tc>
            </w:tr>
          </w:tbl>
          <w:p>
            <w:pPr>
              <w:spacing w:after="0" w:before="0" w:line="168" w:lineRule="auto"/>
            </w:pPr>
          </w:p>
          <w:p>
            <w:pPr>
              <w:keepNext w:val="0"/>
              <w:spacing w:before="60" w:after="40" w:line="228" w:lineRule="auto"/>
            </w:pPr>
            <w:r>
              <w:rPr>
                <w:rFonts w:ascii="Arial" w:hAnsi="Arial" w:eastAsia="Arial"/>
                <w:b/>
                <w:i w:val="0"/>
                <w:color w:val="B42318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Do not compare these as if they measure the same stage of the value chain. </w:t>
            </w:r>
            <w:r>
              <w:rPr>
                <w:b w:val="0"/>
                <w:sz w:val="16"/>
              </w:rPr>
              <w:t>Bulletin 42 still provides no controlled comparison by grower class x grade x irrigation x channel x deductions. Grade mix, curing, chemistry, traceability, market allocation and financing may explain part of the smallholder-commercial gap, but the evidence does not quantify how much.</w:t>
            </w:r>
          </w:p>
          <w:p>
            <w:pPr>
              <w:keepNext/>
              <w:spacing w:before="0" w:after="60" w:line="240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20"/>
              </w:rPr>
              <w:t xml:space="preserve">5  </w:t>
            </w:r>
            <w:r>
              <w:rPr>
                <w:rFonts w:ascii="Arial" w:hAnsi="Arial" w:eastAsia="Arial"/>
                <w:b/>
                <w:i w:val="0"/>
                <w:color w:val="004B31"/>
                <w:sz w:val="20"/>
              </w:rPr>
              <w:t>QUESTIONS WORTH RAISING</w:t>
            </w:r>
          </w:p>
          <w:p>
            <w:pPr>
              <w:keepNext w:val="0"/>
              <w:spacing w:before="0" w:after="24" w:line="221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1. </w:t>
            </w:r>
            <w:r>
              <w:rPr>
                <w:b w:val="0"/>
                <w:sz w:val="16"/>
              </w:rPr>
              <w:t>Are we measuring registered growers, hectares, or profitable kilograms?</w:t>
            </w:r>
          </w:p>
          <w:p>
            <w:pPr>
              <w:keepNext w:val="0"/>
              <w:spacing w:before="0" w:after="24" w:line="221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2. </w:t>
            </w:r>
            <w:r>
              <w:rPr>
                <w:b w:val="0"/>
                <w:sz w:val="16"/>
              </w:rPr>
              <w:t>Why are registrations 11% higher while planted area and seedbed potential are 10% lower?</w:t>
            </w:r>
          </w:p>
          <w:p>
            <w:pPr>
              <w:keepNext w:val="0"/>
              <w:spacing w:before="0" w:after="24" w:line="221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3. </w:t>
            </w:r>
            <w:r>
              <w:rPr>
                <w:b w:val="0"/>
                <w:sz w:val="16"/>
              </w:rPr>
              <w:t>What share of the 60,914 contracted growers received complete packages - and at what recoverable cost?</w:t>
            </w:r>
          </w:p>
          <w:p>
            <w:pPr>
              <w:keepNext w:val="0"/>
              <w:spacing w:before="0" w:after="24" w:line="221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4. </w:t>
            </w:r>
            <w:r>
              <w:rPr>
                <w:b w:val="0"/>
                <w:sz w:val="16"/>
              </w:rPr>
              <w:t>Which grades/styles account for the strongest export values?</w:t>
            </w:r>
          </w:p>
          <w:p>
            <w:pPr>
              <w:keepNext w:val="0"/>
              <w:spacing w:before="0" w:after="24" w:line="221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5. </w:t>
            </w:r>
            <w:r>
              <w:rPr>
                <w:b w:val="0"/>
                <w:sz w:val="16"/>
              </w:rPr>
              <w:t>Can TIMB publish grower class x grade x price x channel data?</w:t>
            </w:r>
          </w:p>
          <w:p>
            <w:pPr>
              <w:keepNext w:val="0"/>
              <w:spacing w:before="0" w:after="24" w:line="221" w:lineRule="auto"/>
            </w:pPr>
            <w:r>
              <w:rPr>
                <w:rFonts w:ascii="Arial" w:hAnsi="Arial" w:eastAsia="Arial"/>
                <w:b/>
                <w:i w:val="0"/>
                <w:color w:val="E4B400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b/>
                <w:sz w:val="16"/>
              </w:rPr>
              <w:t xml:space="preserve">6. </w:t>
            </w:r>
            <w:r>
              <w:rPr>
                <w:b w:val="0"/>
                <w:sz w:val="16"/>
              </w:rPr>
              <w:t>Can contractors report gross proceeds, deductions and estimated net grower return/kg?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5"/>
        <w:gridCol w:w="3605"/>
        <w:gridCol w:w="3605"/>
      </w:tblGrid>
      <w:tr>
        <w:tc>
          <w:tcPr>
            <w:tcW w:type="dxa" w:w="3605"/>
            <w:shd w:fill="004B31"/>
            <w:tcMar>
              <w:top w:w="45" w:type="dxa"/>
              <w:start w:w="55" w:type="dxa"/>
              <w:bottom w:w="35" w:type="dxa"/>
              <w:end w:w="55" w:type="dxa"/>
            </w:tcMar>
            <w:tcBorders>
              <w:top w:val="single" w:sz="4" w:color="D8DDD9"/>
              <w:left w:val="single" w:sz="4" w:color="D8DDD9"/>
              <w:bottom w:val="single" w:sz="4" w:color="D8DDD9"/>
              <w:right w:val="single" w:sz="4" w:color="D8DDD9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E4B400"/>
                <w:sz w:val="15"/>
              </w:rPr>
              <w:t>PLANTING TRAJECTORY</w:t>
            </w:r>
          </w:p>
        </w:tc>
        <w:tc>
          <w:tcPr>
            <w:tcW w:type="dxa" w:w="3605"/>
            <w:shd w:fill="004B31"/>
            <w:tcMar>
              <w:top w:w="45" w:type="dxa"/>
              <w:start w:w="55" w:type="dxa"/>
              <w:bottom w:w="35" w:type="dxa"/>
              <w:end w:w="55" w:type="dxa"/>
            </w:tcMar>
            <w:tcBorders>
              <w:top w:val="single" w:sz="4" w:color="D8DDD9"/>
              <w:left w:val="single" w:sz="4" w:color="D8DDD9"/>
              <w:bottom w:val="single" w:sz="4" w:color="D8DDD9"/>
              <w:right w:val="single" w:sz="4" w:color="D8DDD9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E4B400"/>
                <w:sz w:val="15"/>
              </w:rPr>
              <w:t>CONTRACT ECONOMICS</w:t>
            </w:r>
          </w:p>
        </w:tc>
        <w:tc>
          <w:tcPr>
            <w:tcW w:type="dxa" w:w="3605"/>
            <w:shd w:fill="004B31"/>
            <w:tcMar>
              <w:top w:w="45" w:type="dxa"/>
              <w:start w:w="55" w:type="dxa"/>
              <w:bottom w:w="35" w:type="dxa"/>
              <w:end w:w="55" w:type="dxa"/>
            </w:tcMar>
            <w:tcBorders>
              <w:top w:val="single" w:sz="4" w:color="D8DDD9"/>
              <w:left w:val="single" w:sz="4" w:color="D8DDD9"/>
              <w:bottom w:val="single" w:sz="4" w:color="D8DDD9"/>
              <w:right w:val="single" w:sz="4" w:color="D8DDD9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E4B400"/>
                <w:sz w:val="15"/>
              </w:rPr>
              <w:t>EXPORT QUALITY</w:t>
            </w:r>
          </w:p>
        </w:tc>
      </w:tr>
      <w:tr>
        <w:tc>
          <w:tcPr>
            <w:tcW w:type="dxa" w:w="3605"/>
            <w:shd w:fill="F4F5F3"/>
            <w:tcMar>
              <w:top w:w="45" w:type="dxa"/>
              <w:start w:w="65" w:type="dxa"/>
              <w:bottom w:w="55" w:type="dxa"/>
              <w:end w:w="65" w:type="dxa"/>
            </w:tcMar>
            <w:tcBorders>
              <w:top w:val="single" w:sz="4" w:color="D8DDD9"/>
              <w:left w:val="single" w:sz="4" w:color="D8DDD9"/>
              <w:bottom w:val="single" w:sz="4" w:color="D8DDD9"/>
              <w:right w:val="single" w:sz="4" w:color="D8DDD9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5"/>
              </w:rPr>
            </w:r>
            <w:r>
              <w:rPr>
                <w:b w:val="0"/>
                <w:sz w:val="15"/>
              </w:rPr>
              <w:t>Track actual planted hectares against the -10% seedbed field-equivalence signal.</w:t>
            </w:r>
          </w:p>
        </w:tc>
        <w:tc>
          <w:tcPr>
            <w:tcW w:type="dxa" w:w="3605"/>
            <w:shd w:fill="F4F5F3"/>
            <w:tcMar>
              <w:top w:w="45" w:type="dxa"/>
              <w:start w:w="65" w:type="dxa"/>
              <w:bottom w:w="55" w:type="dxa"/>
              <w:end w:w="65" w:type="dxa"/>
            </w:tcMar>
            <w:tcBorders>
              <w:top w:val="single" w:sz="4" w:color="D8DDD9"/>
              <w:left w:val="single" w:sz="4" w:color="D8DDD9"/>
              <w:bottom w:val="single" w:sz="4" w:color="D8DDD9"/>
              <w:right w:val="single" w:sz="4" w:color="D8DDD9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5"/>
              </w:rPr>
            </w:r>
            <w:r>
              <w:rPr>
                <w:b w:val="0"/>
                <w:sz w:val="15"/>
              </w:rPr>
              <w:t>Ask for package value, finance charges, deductions and break-even yield/kg.</w:t>
            </w:r>
          </w:p>
        </w:tc>
        <w:tc>
          <w:tcPr>
            <w:tcW w:type="dxa" w:w="3605"/>
            <w:shd w:fill="F4F5F3"/>
            <w:tcMar>
              <w:top w:w="45" w:type="dxa"/>
              <w:start w:w="65" w:type="dxa"/>
              <w:bottom w:w="55" w:type="dxa"/>
              <w:end w:w="65" w:type="dxa"/>
            </w:tcMar>
            <w:tcBorders>
              <w:top w:val="single" w:sz="4" w:color="D8DDD9"/>
              <w:left w:val="single" w:sz="4" w:color="D8DDD9"/>
              <w:bottom w:val="single" w:sz="4" w:color="D8DDD9"/>
              <w:right w:val="single" w:sz="4" w:color="D8DDD9"/>
            </w:tcBorders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5"/>
              </w:rPr>
            </w:r>
            <w:r>
              <w:rPr>
                <w:b w:val="0"/>
                <w:sz w:val="15"/>
              </w:rPr>
              <w:t>Identify grades/styles behind the Far East premium and weaker Africa/EU unit values.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15"/>
      </w:tblGrid>
      <w:tr>
        <w:tc>
          <w:tcPr>
            <w:tcW w:type="dxa" w:w="10815"/>
            <w:shd w:fill="EAF2ED"/>
            <w:tcMar>
              <w:top w:w="55" w:type="dxa"/>
              <w:start w:w="90" w:type="dxa"/>
              <w:bottom w:w="55" w:type="dxa"/>
              <w:end w:w="90" w:type="dxa"/>
            </w:tcMar>
            <w:tcBorders>
              <w:left w:val="single" w:sz="12" w:color="E4B400"/>
            </w:tcBorders>
          </w:tcPr>
          <w:p>
            <w:pPr>
              <w:keepNext w:val="0"/>
              <w:spacing w:before="0" w:after="0" w:line="230" w:lineRule="auto"/>
            </w:pP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rFonts w:ascii="Arial" w:hAnsi="Arial" w:eastAsia="Arial"/>
                <w:b w:val="0"/>
                <w:i w:val="0"/>
                <w:color w:val="111111"/>
                <w:sz w:val="15"/>
              </w:rPr>
            </w:r>
            <w:r>
              <w:rPr>
                <w:b/>
                <w:sz w:val="16"/>
              </w:rPr>
              <w:t xml:space="preserve">EVIDENCE GAP  </w:t>
            </w:r>
            <w:r>
              <w:rPr>
                <w:b w:val="0"/>
                <w:sz w:val="15"/>
              </w:rPr>
              <w:t>Bulletin 42 does not provide price by grower class, grade, irrigation status or net deductions. Previous smallholder-commercial averages should not be restated as current without revalidating the underlying dataset and comparison period.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15"/>
      </w:tblGrid>
      <w:tr>
        <w:tc>
          <w:tcPr>
            <w:tcW w:type="dxa" w:w="10815"/>
            <w:shd w:fill="FFF7D6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10" w:color="E4B400"/>
              <w:left w:val="single" w:sz="10" w:color="E4B400"/>
              <w:bottom w:val="single" w:sz="10" w:color="E4B400"/>
              <w:right w:val="single" w:sz="10" w:color="E4B400"/>
            </w:tcBorders>
          </w:tcPr>
          <w:p>
            <w:pPr>
              <w:keepNext w:val="0"/>
              <w:spacing w:before="0" w:after="20" w:line="240" w:lineRule="auto"/>
            </w:pPr>
            <w:r>
              <w:rPr>
                <w:rFonts w:ascii="Arial" w:hAnsi="Arial" w:eastAsia="Arial"/>
                <w:b/>
                <w:i w:val="0"/>
                <w:color w:val="004B31"/>
                <w:sz w:val="18"/>
              </w:rPr>
            </w:r>
            <w:r>
              <w:rPr>
                <w:rFonts w:ascii="Arial" w:hAnsi="Arial" w:eastAsia="Arial"/>
                <w:b/>
                <w:i w:val="0"/>
                <w:color w:val="111111"/>
                <w:sz w:val="16"/>
              </w:rPr>
            </w:r>
            <w:r>
              <w:rPr>
                <w:b/>
                <w:sz w:val="18"/>
              </w:rPr>
              <w:t xml:space="preserve">BOTTOM LINE  </w:t>
            </w:r>
            <w:r>
              <w:rPr>
                <w:b/>
                <w:sz w:val="16"/>
              </w:rPr>
              <w:t>Participation is rising, but production intensity remains softer. Zimbabwe has crossed US$1bn in tobacco exports, yet export value growth is trailing volume growth and average export value/kg is lower.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111111"/>
                <w:sz w:val="16"/>
              </w:rPr>
            </w:r>
            <w:r>
              <w:rPr>
                <w:rFonts w:ascii="Arial" w:hAnsi="Arial" w:eastAsia="Arial"/>
                <w:b/>
                <w:i w:val="0"/>
                <w:color w:val="004B31"/>
                <w:sz w:val="16"/>
              </w:rPr>
            </w:r>
            <w:r>
              <w:rPr>
                <w:b w:val="0"/>
                <w:sz w:val="16"/>
              </w:rPr>
              <w:t xml:space="preserve">The better measure for 2026/27 is not simply growers, hectares or kilograms: </w:t>
            </w:r>
            <w:r>
              <w:rPr>
                <w:b/>
                <w:sz w:val="16"/>
              </w:rPr>
              <w:t>how many profitable, market-fit and traceable kilograms can Zimbabwe produce - and how much of their final value remains with the grower?</w:t>
            </w:r>
          </w:p>
        </w:tc>
      </w:tr>
    </w:tbl>
    <w:p>
      <w:pPr>
        <w:keepNext w:val="0"/>
        <w:spacing w:before="40" w:after="0" w:line="216" w:lineRule="auto"/>
        <w:jc w:val="center"/>
      </w:pPr>
      <w:r>
        <w:rPr>
          <w:rFonts w:ascii="Arial" w:hAnsi="Arial" w:eastAsia="Arial"/>
          <w:b w:val="0"/>
          <w:i w:val="0"/>
          <w:color w:val="5F6368"/>
          <w:sz w:val="13"/>
        </w:rPr>
      </w:r>
      <w:r>
        <w:rPr>
          <w:b w:val="0"/>
          <w:sz w:val="13"/>
        </w:rPr>
        <w:t>Primary data source: TIMB Weekly Bulletin 42, ending 16 October 2026. Price benchmarks referenced are final 2026 marketing-season figures previously verified by TFT; Bulletin 42 contains no new grade-by-price data. Interpretive statements are TFT analysis.</w:t>
      </w:r>
    </w:p>
    <w:sectPr w:rsidR="00FC693F" w:rsidRPr="0006063C" w:rsidSect="00034616">
      <w:footerReference w:type="default" r:id="rId10"/>
      <w:pgSz w:w="11909" w:h="16834"/>
      <w:pgMar w:top="432" w:right="547" w:bottom="403" w:left="547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128"/>
      <w:gridCol w:w="3672"/>
    </w:tblGrid>
    <w:tr>
      <w:tc>
        <w:tcPr>
          <w:tcW w:type="dxa" w:w="5400"/>
          <w:shd w:fill="004B31"/>
          <w:tcMar>
            <w:top w:w="45" w:type="dxa"/>
            <w:start w:w="85" w:type="dxa"/>
            <w:bottom w:w="45" w:type="dxa"/>
            <w:end w:w="85" w:type="dxa"/>
          </w:tcMar>
        </w:tcPr>
        <w:p>
          <w:pPr>
            <w:keepNext w:val="0"/>
            <w:spacing w:before="0" w:after="0" w:line="240" w:lineRule="auto"/>
          </w:pPr>
          <w:r>
            <w:rPr>
              <w:rFonts w:ascii="Arial" w:hAnsi="Arial" w:eastAsia="Arial"/>
              <w:b/>
              <w:i/>
              <w:color w:val="E4B400"/>
              <w:sz w:val="14"/>
            </w:rPr>
            <w:t>A Healthy Farmer. A Healthy Crop. A Healthy Profit. In a Healthy Environment.</w:t>
          </w:r>
        </w:p>
      </w:tc>
      <w:tc>
        <w:tcPr>
          <w:tcW w:type="dxa" w:w="5400"/>
          <w:shd w:fill="004B31"/>
          <w:tcMar>
            <w:top w:w="45" w:type="dxa"/>
            <w:start w:w="85" w:type="dxa"/>
            <w:bottom w:w="45" w:type="dxa"/>
            <w:end w:w="85" w:type="dxa"/>
          </w:tcMar>
        </w:tcPr>
        <w:p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 w:eastAsia="Arial"/>
              <w:b/>
              <w:i w:val="0"/>
              <w:color w:val="FFFFFF"/>
              <w:sz w:val="13"/>
            </w:rPr>
            <w:t>+263 715 645 064  |  +263 771 646 357</w:t>
          </w:r>
        </w:p>
        <w:p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 w:eastAsia="Arial"/>
              <w:b w:val="0"/>
              <w:i w:val="0"/>
              <w:color w:val="FFFFFF"/>
              <w:sz w:val="13"/>
            </w:rPr>
            <w:t>tft.org.zw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